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EDA9852">
      <w:pPr>
        <w:pStyle w:val="12"/>
        <w:spacing w:line="520" w:lineRule="exact"/>
        <w:ind w:firstLine="662" w:firstLineChars="207"/>
        <w:rPr>
          <w:sz w:val="32"/>
          <w:szCs w:val="32"/>
        </w:rPr>
      </w:pPr>
    </w:p>
    <w:p w14:paraId="213D5017">
      <w:pPr>
        <w:pStyle w:val="12"/>
        <w:spacing w:line="520" w:lineRule="exact"/>
        <w:ind w:firstLine="662" w:firstLineChars="207"/>
        <w:rPr>
          <w:sz w:val="32"/>
          <w:szCs w:val="32"/>
        </w:rPr>
      </w:pPr>
    </w:p>
    <w:p w14:paraId="06285803">
      <w:pPr>
        <w:pStyle w:val="12"/>
        <w:spacing w:line="520" w:lineRule="exact"/>
        <w:ind w:firstLine="662" w:firstLineChars="207"/>
        <w:rPr>
          <w:sz w:val="32"/>
          <w:szCs w:val="32"/>
        </w:rPr>
      </w:pPr>
    </w:p>
    <w:p w14:paraId="39B5140B">
      <w:pPr>
        <w:spacing w:line="360" w:lineRule="auto"/>
        <w:jc w:val="center"/>
        <w:rPr>
          <w:rFonts w:ascii="仿宋_GB2312"/>
        </w:rPr>
      </w:pPr>
    </w:p>
    <w:p w14:paraId="31AF3CDD">
      <w:pPr>
        <w:autoSpaceDE w:val="0"/>
        <w:autoSpaceDN w:val="0"/>
        <w:jc w:val="center"/>
        <w:rPr>
          <w:rFonts w:ascii="Times New Roman" w:hAnsi="Times New Roman"/>
        </w:rPr>
      </w:pPr>
      <w:r>
        <w:rPr>
          <w:rFonts w:hint="eastAsia" w:ascii="Times New Roman" w:hAnsi="Times New Roman"/>
          <w:lang w:val="zh-CN"/>
        </w:rPr>
        <w:t xml:space="preserve">津滨审批二室准〔2025〕14 号 </w:t>
      </w:r>
      <w:bookmarkStart w:id="0" w:name="_GoBack"/>
      <w:bookmarkEnd w:id="0"/>
    </w:p>
    <w:p w14:paraId="29019BA5">
      <w:pPr>
        <w:pStyle w:val="12"/>
        <w:spacing w:line="520" w:lineRule="exact"/>
        <w:jc w:val="center"/>
        <w:rPr>
          <w:rFonts w:eastAsia="方正小标宋简体"/>
          <w:color w:val="000000"/>
          <w:sz w:val="44"/>
        </w:rPr>
      </w:pPr>
    </w:p>
    <w:p w14:paraId="2917AC35">
      <w:pPr>
        <w:pStyle w:val="12"/>
        <w:spacing w:line="600" w:lineRule="exact"/>
        <w:jc w:val="center"/>
        <w:rPr>
          <w:rFonts w:eastAsia="方正小标宋简体"/>
          <w:color w:val="000000"/>
          <w:sz w:val="44"/>
        </w:rPr>
      </w:pPr>
      <w:r>
        <w:rPr>
          <w:rFonts w:hint="eastAsia" w:eastAsia="方正小标宋简体"/>
          <w:color w:val="000000"/>
          <w:sz w:val="44"/>
        </w:rPr>
        <w:t>关于中化天津港石化仓储有限公司稀释沥青</w:t>
      </w:r>
    </w:p>
    <w:p w14:paraId="475577BF">
      <w:pPr>
        <w:pStyle w:val="12"/>
        <w:spacing w:line="600" w:lineRule="exact"/>
        <w:jc w:val="center"/>
        <w:rPr>
          <w:rFonts w:eastAsia="方正小标宋简体"/>
          <w:color w:val="000000"/>
          <w:sz w:val="44"/>
        </w:rPr>
      </w:pPr>
      <w:r>
        <w:rPr>
          <w:rFonts w:hint="eastAsia" w:eastAsia="方正小标宋简体"/>
          <w:color w:val="000000"/>
          <w:sz w:val="44"/>
        </w:rPr>
        <w:t>增项项目</w:t>
      </w:r>
      <w:r>
        <w:rPr>
          <w:rFonts w:eastAsia="方正小标宋简体"/>
          <w:color w:val="000000"/>
          <w:sz w:val="44"/>
        </w:rPr>
        <w:t>环境影响报告表的批复</w:t>
      </w:r>
    </w:p>
    <w:p w14:paraId="5D6B110C">
      <w:pPr>
        <w:pStyle w:val="12"/>
        <w:spacing w:line="520" w:lineRule="exact"/>
        <w:jc w:val="both"/>
        <w:rPr>
          <w:sz w:val="32"/>
          <w:szCs w:val="32"/>
        </w:rPr>
      </w:pPr>
    </w:p>
    <w:p w14:paraId="1D65F19D">
      <w:pPr>
        <w:pStyle w:val="12"/>
        <w:spacing w:line="520" w:lineRule="exact"/>
        <w:jc w:val="both"/>
        <w:rPr>
          <w:sz w:val="32"/>
          <w:szCs w:val="32"/>
        </w:rPr>
      </w:pPr>
      <w:r>
        <w:rPr>
          <w:rFonts w:hint="eastAsia"/>
          <w:sz w:val="32"/>
          <w:szCs w:val="32"/>
        </w:rPr>
        <w:t>中化天津港石化仓储有限公司</w:t>
      </w:r>
      <w:r>
        <w:rPr>
          <w:sz w:val="32"/>
          <w:szCs w:val="32"/>
        </w:rPr>
        <w:t>：</w:t>
      </w:r>
    </w:p>
    <w:p w14:paraId="2035FDAC">
      <w:pPr>
        <w:pStyle w:val="12"/>
        <w:spacing w:line="520" w:lineRule="exact"/>
        <w:ind w:firstLine="662" w:firstLineChars="207"/>
        <w:rPr>
          <w:sz w:val="32"/>
          <w:szCs w:val="32"/>
        </w:rPr>
      </w:pPr>
      <w:r>
        <w:rPr>
          <w:sz w:val="32"/>
          <w:szCs w:val="32"/>
        </w:rPr>
        <w:t>你公司提交的《关于报批</w:t>
      </w:r>
      <w:r>
        <w:rPr>
          <w:rFonts w:hint="eastAsia"/>
          <w:sz w:val="32"/>
          <w:szCs w:val="32"/>
        </w:rPr>
        <w:t>中化天津港石化仓储有限公司稀释沥青增项项目</w:t>
      </w:r>
      <w:r>
        <w:rPr>
          <w:sz w:val="32"/>
          <w:szCs w:val="32"/>
        </w:rPr>
        <w:t>环境影响报告表的</w:t>
      </w:r>
      <w:r>
        <w:rPr>
          <w:rFonts w:hint="eastAsia"/>
          <w:sz w:val="32"/>
          <w:szCs w:val="32"/>
        </w:rPr>
        <w:t>请示</w:t>
      </w:r>
      <w:r>
        <w:rPr>
          <w:sz w:val="32"/>
          <w:szCs w:val="32"/>
        </w:rPr>
        <w:t>》、天津潮生环保科技有限公司《</w:t>
      </w:r>
      <w:r>
        <w:rPr>
          <w:rFonts w:hint="eastAsia"/>
          <w:sz w:val="32"/>
          <w:szCs w:val="32"/>
        </w:rPr>
        <w:t>中化天津港石化仓储有限公司稀释沥青增项项目</w:t>
      </w:r>
      <w:r>
        <w:rPr>
          <w:sz w:val="32"/>
          <w:szCs w:val="32"/>
        </w:rPr>
        <w:t>环境影响报告表》及相关材料收悉。经研究，现批复如下：</w:t>
      </w:r>
    </w:p>
    <w:p w14:paraId="5C7088A1">
      <w:pPr>
        <w:pStyle w:val="12"/>
        <w:spacing w:line="520" w:lineRule="exact"/>
        <w:ind w:firstLine="662" w:firstLineChars="207"/>
        <w:rPr>
          <w:bCs/>
          <w:sz w:val="32"/>
          <w:szCs w:val="32"/>
        </w:rPr>
      </w:pPr>
      <w:r>
        <w:rPr>
          <w:rFonts w:hint="eastAsia"/>
          <w:sz w:val="32"/>
          <w:szCs w:val="32"/>
        </w:rPr>
        <w:t>一、你公司拟投资480万元人民币于</w:t>
      </w:r>
      <w:r>
        <w:rPr>
          <w:sz w:val="32"/>
          <w:szCs w:val="32"/>
        </w:rPr>
        <w:t>天津港南疆港区南航路3262号</w:t>
      </w:r>
      <w:r>
        <w:rPr>
          <w:rFonts w:hint="eastAsia"/>
          <w:sz w:val="32"/>
          <w:szCs w:val="32"/>
        </w:rPr>
        <w:t>现有厂区建设“中化天津港石化仓储有限公司稀释沥青增项项目”（以下简称“项目”）。项目主要建设内容为：依托现有原油（燃料油）罐区部分储罐新增稀释沥青的仓储，储存规模为18万m</w:t>
      </w:r>
      <w:r>
        <w:rPr>
          <w:rFonts w:hint="eastAsia"/>
          <w:sz w:val="32"/>
          <w:szCs w:val="32"/>
          <w:vertAlign w:val="superscript"/>
        </w:rPr>
        <w:t>3</w:t>
      </w:r>
      <w:r>
        <w:rPr>
          <w:rFonts w:hint="eastAsia"/>
          <w:sz w:val="32"/>
          <w:szCs w:val="32"/>
        </w:rPr>
        <w:t>；将现有8t/h燃油锅炉更换为4t/h醇基燃料锅炉，为现有2台15t/h锅炉更换适合醇基燃料的燃烧器；将现有锅炉燃料罐区储罐由固定顶罐改造为内浮顶罐，用于醇基燃料的贮存。项目实施后，你公司</w:t>
      </w:r>
      <w:r>
        <w:rPr>
          <w:sz w:val="32"/>
          <w:szCs w:val="32"/>
        </w:rPr>
        <w:t>库区总库容</w:t>
      </w:r>
      <w:r>
        <w:rPr>
          <w:rFonts w:hint="eastAsia"/>
          <w:sz w:val="32"/>
          <w:szCs w:val="32"/>
        </w:rPr>
        <w:t>不变，</w:t>
      </w:r>
      <w:r>
        <w:rPr>
          <w:sz w:val="32"/>
          <w:szCs w:val="32"/>
        </w:rPr>
        <w:t>总周转量</w:t>
      </w:r>
      <w:r>
        <w:rPr>
          <w:rFonts w:hint="eastAsia"/>
          <w:sz w:val="32"/>
          <w:szCs w:val="32"/>
        </w:rPr>
        <w:t>不变。项目环保投资11万元人民币，约占总投资的2.29%。</w:t>
      </w:r>
    </w:p>
    <w:p w14:paraId="55AF8172">
      <w:pPr>
        <w:pStyle w:val="12"/>
        <w:spacing w:line="520" w:lineRule="exact"/>
        <w:ind w:firstLine="640" w:firstLineChars="200"/>
        <w:rPr>
          <w:sz w:val="32"/>
          <w:szCs w:val="32"/>
        </w:rPr>
      </w:pPr>
      <w:r>
        <w:rPr>
          <w:sz w:val="32"/>
          <w:szCs w:val="32"/>
        </w:rPr>
        <w:t>202</w:t>
      </w:r>
      <w:r>
        <w:rPr>
          <w:rFonts w:hint="eastAsia"/>
          <w:sz w:val="32"/>
          <w:szCs w:val="32"/>
        </w:rPr>
        <w:t>4</w:t>
      </w:r>
      <w:r>
        <w:rPr>
          <w:sz w:val="32"/>
          <w:szCs w:val="32"/>
        </w:rPr>
        <w:t>年</w:t>
      </w:r>
      <w:r>
        <w:rPr>
          <w:rFonts w:hint="eastAsia"/>
          <w:sz w:val="32"/>
          <w:szCs w:val="32"/>
        </w:rPr>
        <w:t>12</w:t>
      </w:r>
      <w:r>
        <w:rPr>
          <w:sz w:val="32"/>
          <w:szCs w:val="32"/>
        </w:rPr>
        <w:t>月</w:t>
      </w:r>
      <w:r>
        <w:rPr>
          <w:rFonts w:hint="eastAsia"/>
          <w:sz w:val="32"/>
          <w:szCs w:val="32"/>
        </w:rPr>
        <w:t>16</w:t>
      </w:r>
      <w:r>
        <w:rPr>
          <w:sz w:val="32"/>
          <w:szCs w:val="32"/>
        </w:rPr>
        <w:t>日至</w:t>
      </w:r>
      <w:r>
        <w:rPr>
          <w:rFonts w:hint="eastAsia"/>
          <w:sz w:val="32"/>
          <w:szCs w:val="32"/>
        </w:rPr>
        <w:t>12</w:t>
      </w:r>
      <w:r>
        <w:rPr>
          <w:sz w:val="32"/>
          <w:szCs w:val="32"/>
        </w:rPr>
        <w:t>月</w:t>
      </w:r>
      <w:r>
        <w:rPr>
          <w:rFonts w:hint="eastAsia"/>
          <w:sz w:val="32"/>
          <w:szCs w:val="32"/>
        </w:rPr>
        <w:t>20</w:t>
      </w:r>
      <w:r>
        <w:rPr>
          <w:sz w:val="32"/>
          <w:szCs w:val="32"/>
        </w:rPr>
        <w:t>日，我局将该项目受理情况进行公示；</w:t>
      </w:r>
      <w:r>
        <w:rPr>
          <w:rFonts w:hint="eastAsia"/>
          <w:sz w:val="32"/>
          <w:szCs w:val="32"/>
        </w:rPr>
        <w:t xml:space="preserve">2025年1 </w:t>
      </w:r>
      <w:r>
        <w:rPr>
          <w:sz w:val="32"/>
          <w:szCs w:val="32"/>
        </w:rPr>
        <w:t>月</w:t>
      </w:r>
      <w:r>
        <w:rPr>
          <w:rFonts w:hint="eastAsia"/>
          <w:sz w:val="32"/>
          <w:szCs w:val="32"/>
        </w:rPr>
        <w:t>3</w:t>
      </w:r>
      <w:r>
        <w:rPr>
          <w:sz w:val="32"/>
          <w:szCs w:val="32"/>
        </w:rPr>
        <w:t>日至</w:t>
      </w:r>
      <w:r>
        <w:rPr>
          <w:rFonts w:hint="eastAsia"/>
          <w:sz w:val="32"/>
          <w:szCs w:val="32"/>
        </w:rPr>
        <w:t>1</w:t>
      </w:r>
      <w:r>
        <w:rPr>
          <w:sz w:val="32"/>
          <w:szCs w:val="32"/>
        </w:rPr>
        <w:t>月</w:t>
      </w:r>
      <w:r>
        <w:rPr>
          <w:rFonts w:hint="eastAsia"/>
          <w:sz w:val="32"/>
          <w:szCs w:val="32"/>
        </w:rPr>
        <w:t>9</w:t>
      </w:r>
      <w:r>
        <w:rPr>
          <w:sz w:val="32"/>
          <w:szCs w:val="32"/>
        </w:rPr>
        <w:t>日，将该项目拟批复情况进行公示；根据公众反馈意见情况及环评报告结论，在严格落实环评报告所提出的各项污染防治措施、确保各类污染物稳定达标的前提下</w:t>
      </w:r>
      <w:r>
        <w:rPr>
          <w:rFonts w:hint="eastAsia"/>
          <w:sz w:val="32"/>
          <w:szCs w:val="32"/>
        </w:rPr>
        <w:t>，</w:t>
      </w:r>
      <w:r>
        <w:rPr>
          <w:sz w:val="32"/>
          <w:szCs w:val="32"/>
        </w:rPr>
        <w:t>同意该工程建设。</w:t>
      </w:r>
    </w:p>
    <w:p w14:paraId="5596E8E0">
      <w:pPr>
        <w:spacing w:line="520" w:lineRule="exact"/>
        <w:ind w:firstLine="640" w:firstLineChars="200"/>
        <w:rPr>
          <w:rFonts w:ascii="Times New Roman"/>
        </w:rPr>
      </w:pPr>
      <w:r>
        <w:rPr>
          <w:rFonts w:hint="eastAsia" w:ascii="Times New Roman"/>
        </w:rPr>
        <w:t>二</w:t>
      </w:r>
      <w:r>
        <w:rPr>
          <w:rFonts w:ascii="Times New Roman"/>
        </w:rPr>
        <w:t>、</w:t>
      </w:r>
      <w:r>
        <w:rPr>
          <w:rFonts w:hint="eastAsia" w:ascii="Times New Roman"/>
        </w:rPr>
        <w:t>项目运营</w:t>
      </w:r>
      <w:r>
        <w:rPr>
          <w:rFonts w:ascii="Times New Roman"/>
        </w:rPr>
        <w:t>过程中，你公司应重点做好以下工作：</w:t>
      </w:r>
    </w:p>
    <w:p w14:paraId="49F008A2">
      <w:pPr>
        <w:spacing w:line="520" w:lineRule="exact"/>
        <w:ind w:firstLine="640" w:firstLineChars="200"/>
        <w:rPr>
          <w:rFonts w:ascii="Times New Roman"/>
          <w:bCs/>
        </w:rPr>
      </w:pPr>
      <w:r>
        <w:rPr>
          <w:rFonts w:ascii="Times New Roman"/>
        </w:rPr>
        <w:t>1</w:t>
      </w:r>
      <w:r>
        <w:rPr>
          <w:rFonts w:hint="eastAsia" w:ascii="Times New Roman"/>
        </w:rPr>
        <w:t>.项目</w:t>
      </w:r>
      <w:r>
        <w:rPr>
          <w:rFonts w:hint="eastAsia" w:ascii="Times New Roman"/>
          <w:bCs/>
        </w:rPr>
        <w:t>稀释沥青装车过程产生的废气引至现有 “冷凝+活性炭吸附” 装置（TA003）处理后，通过现有1根15m高排气筒（DA005）达标排放。项目醇基燃料锅炉配置低氮燃烧器，燃烧废气经现有1根30m高排气筒（DA001）达标排放。</w:t>
      </w:r>
    </w:p>
    <w:p w14:paraId="58011F6E">
      <w:pPr>
        <w:spacing w:line="520" w:lineRule="exact"/>
        <w:ind w:firstLine="640" w:firstLineChars="200"/>
      </w:pPr>
      <w:r>
        <w:rPr>
          <w:rFonts w:hint="eastAsia"/>
        </w:rPr>
        <w:t>采取有效措施，减少废气无组织排放，防止</w:t>
      </w:r>
      <w:r>
        <w:rPr>
          <w:bCs/>
        </w:rPr>
        <w:t>非甲烷总烃</w:t>
      </w:r>
      <w:r>
        <w:rPr>
          <w:rFonts w:hint="eastAsia"/>
          <w:bCs/>
        </w:rPr>
        <w:t>等</w:t>
      </w:r>
      <w:r>
        <w:rPr>
          <w:rFonts w:hint="eastAsia"/>
        </w:rPr>
        <w:t>无组织排放对周边环境影响产生影响，确保达标排放。</w:t>
      </w:r>
    </w:p>
    <w:p w14:paraId="7E235B74">
      <w:pPr>
        <w:spacing w:line="520" w:lineRule="exact"/>
        <w:ind w:firstLine="640" w:firstLineChars="200"/>
        <w:rPr>
          <w:rFonts w:ascii="Times New Roman"/>
        </w:rPr>
      </w:pPr>
      <w:r>
        <w:rPr>
          <w:rFonts w:hint="eastAsia" w:ascii="Times New Roman"/>
        </w:rPr>
        <w:t>2.</w:t>
      </w:r>
      <w:r>
        <w:rPr>
          <w:rFonts w:ascii="Times New Roman"/>
        </w:rPr>
        <w:t>合理布局，选用低噪声设备，对产噪设备实施减振、消声、隔声等措施，确保厂界噪声达标。</w:t>
      </w:r>
    </w:p>
    <w:p w14:paraId="0AE51D3F">
      <w:pPr>
        <w:spacing w:line="520" w:lineRule="exact"/>
        <w:ind w:firstLine="640" w:firstLineChars="200"/>
        <w:rPr>
          <w:rFonts w:ascii="Times New Roman"/>
        </w:rPr>
      </w:pPr>
      <w:r>
        <w:rPr>
          <w:rFonts w:hint="eastAsia" w:ascii="Times New Roman"/>
        </w:rPr>
        <w:t>3.根据“源头控制、分区防治、污染监控、应急响应</w:t>
      </w:r>
      <w:r>
        <w:rPr>
          <w:rFonts w:ascii="Times New Roman"/>
        </w:rPr>
        <w:t>”</w:t>
      </w:r>
      <w:r>
        <w:rPr>
          <w:rFonts w:hint="eastAsia" w:ascii="Times New Roman"/>
        </w:rPr>
        <w:t>的原则，按照报告要求采取严格的防渗、防泄漏、防腐蚀等措施，严禁对地下水、土壤产生影响。</w:t>
      </w:r>
    </w:p>
    <w:p w14:paraId="29F05A7F">
      <w:pPr>
        <w:spacing w:line="520" w:lineRule="exact"/>
        <w:ind w:firstLine="640" w:firstLineChars="200"/>
        <w:rPr>
          <w:rFonts w:ascii="Times New Roman"/>
        </w:rPr>
      </w:pPr>
      <w:r>
        <w:rPr>
          <w:rFonts w:hint="eastAsia" w:ascii="Times New Roman"/>
        </w:rPr>
        <w:t>4.严格落实报告表中的各项事故防范及应急处理措施，做好环境风险事故应急预案的修订与备案工作，强化日常管理，做好风险事故防范措施及应急处理措施的合理衔接工作，杜绝发生环境事故和次生环境事故，防止事故造成的环境污染。</w:t>
      </w:r>
    </w:p>
    <w:p w14:paraId="71912444">
      <w:pPr>
        <w:spacing w:line="520" w:lineRule="exact"/>
        <w:ind w:firstLine="630"/>
        <w:rPr>
          <w:rFonts w:ascii="Times New Roman"/>
          <w:color w:val="FF0000"/>
        </w:rPr>
      </w:pPr>
      <w:r>
        <w:rPr>
          <w:rFonts w:hint="eastAsia"/>
        </w:rPr>
        <w:t>5.落实报告表提出的环境监测计划，定期开展监测工作。</w:t>
      </w:r>
    </w:p>
    <w:p w14:paraId="132A7842">
      <w:pPr>
        <w:spacing w:line="520" w:lineRule="exact"/>
        <w:ind w:firstLine="640" w:firstLineChars="200"/>
      </w:pPr>
      <w:r>
        <w:rPr>
          <w:rFonts w:hint="eastAsia"/>
        </w:rPr>
        <w:t>三、本项目不新增主要污染物排放总量。</w:t>
      </w:r>
    </w:p>
    <w:p w14:paraId="6402B77E">
      <w:pPr>
        <w:spacing w:line="520" w:lineRule="exact"/>
        <w:ind w:firstLine="640" w:firstLineChars="200"/>
        <w:rPr>
          <w:rFonts w:ascii="Times New Roman"/>
        </w:rPr>
      </w:pPr>
      <w:r>
        <w:rPr>
          <w:rFonts w:hint="eastAsia" w:ascii="Times New Roman"/>
        </w:rPr>
        <w:t>四、</w:t>
      </w:r>
      <w:r>
        <w:rPr>
          <w:rFonts w:ascii="Times New Roman"/>
        </w:rPr>
        <w:t>项目建设应严格执行环境保护设施与主体工程同时设计、同时施工、同时投产使用的“三同时”管理制度。项目</w:t>
      </w:r>
      <w:r>
        <w:rPr>
          <w:rFonts w:hint="eastAsia" w:ascii="Times New Roman"/>
        </w:rPr>
        <w:t>应</w:t>
      </w:r>
      <w:r>
        <w:rPr>
          <w:rFonts w:ascii="Times New Roman"/>
        </w:rPr>
        <w:t>按规定</w:t>
      </w:r>
      <w:r>
        <w:rPr>
          <w:rFonts w:hint="eastAsia" w:ascii="Times New Roman"/>
        </w:rPr>
        <w:t>标准和</w:t>
      </w:r>
      <w:r>
        <w:rPr>
          <w:rFonts w:ascii="Times New Roman"/>
        </w:rPr>
        <w:t>程序</w:t>
      </w:r>
      <w:r>
        <w:rPr>
          <w:rFonts w:hint="eastAsia" w:ascii="Times New Roman"/>
        </w:rPr>
        <w:t>开展</w:t>
      </w:r>
      <w:r>
        <w:rPr>
          <w:rFonts w:ascii="Times New Roman"/>
        </w:rPr>
        <w:t>环境保护验收，经验收合格后方可正式投入运营。</w:t>
      </w:r>
    </w:p>
    <w:p w14:paraId="1B340557">
      <w:pPr>
        <w:spacing w:line="520" w:lineRule="exact"/>
        <w:ind w:firstLine="640" w:firstLineChars="200"/>
        <w:rPr>
          <w:rFonts w:ascii="Times New Roman"/>
        </w:rPr>
      </w:pPr>
      <w:r>
        <w:rPr>
          <w:rFonts w:hint="eastAsia" w:ascii="Times New Roman"/>
        </w:rPr>
        <w:t>五</w:t>
      </w:r>
      <w:r>
        <w:rPr>
          <w:rFonts w:ascii="Times New Roman"/>
        </w:rPr>
        <w:t>、若建设</w:t>
      </w:r>
      <w:r>
        <w:rPr>
          <w:rFonts w:hint="eastAsia" w:ascii="Times New Roman"/>
        </w:rPr>
        <w:t>项目</w:t>
      </w:r>
      <w:r>
        <w:rPr>
          <w:rFonts w:ascii="Times New Roman"/>
        </w:rPr>
        <w:t>发生重大变动，</w:t>
      </w:r>
      <w:r>
        <w:rPr>
          <w:rFonts w:hint="eastAsia" w:ascii="Times New Roman"/>
        </w:rPr>
        <w:t>需</w:t>
      </w:r>
      <w:r>
        <w:rPr>
          <w:rFonts w:ascii="Times New Roman"/>
        </w:rPr>
        <w:t>重新报批建设</w:t>
      </w:r>
      <w:r>
        <w:rPr>
          <w:rFonts w:hint="eastAsia" w:ascii="Times New Roman"/>
        </w:rPr>
        <w:t>项目</w:t>
      </w:r>
      <w:r>
        <w:rPr>
          <w:rFonts w:ascii="Times New Roman"/>
        </w:rPr>
        <w:t>的环境影响评价文件。</w:t>
      </w:r>
    </w:p>
    <w:p w14:paraId="2BF4799E">
      <w:pPr>
        <w:spacing w:line="520" w:lineRule="exact"/>
        <w:ind w:firstLine="640" w:firstLineChars="200"/>
        <w:rPr>
          <w:rFonts w:ascii="Times New Roman"/>
        </w:rPr>
      </w:pPr>
      <w:r>
        <w:rPr>
          <w:rFonts w:hint="eastAsia" w:ascii="Times New Roman"/>
        </w:rPr>
        <w:t>六、你公司在项目投入试生产之前应按照法律法规要求做好排污许可管理相关工作。</w:t>
      </w:r>
    </w:p>
    <w:p w14:paraId="78DC1C58">
      <w:pPr>
        <w:pStyle w:val="12"/>
        <w:spacing w:line="520" w:lineRule="exact"/>
        <w:ind w:firstLine="662" w:firstLineChars="207"/>
        <w:rPr>
          <w:sz w:val="32"/>
          <w:szCs w:val="32"/>
        </w:rPr>
      </w:pPr>
      <w:r>
        <w:rPr>
          <w:rFonts w:hint="eastAsia"/>
          <w:sz w:val="32"/>
          <w:szCs w:val="32"/>
        </w:rPr>
        <w:t>七</w:t>
      </w:r>
      <w:r>
        <w:rPr>
          <w:sz w:val="32"/>
          <w:szCs w:val="32"/>
        </w:rPr>
        <w:t>、项目应执行以下</w:t>
      </w:r>
      <w:r>
        <w:rPr>
          <w:rFonts w:hint="eastAsia"/>
          <w:sz w:val="32"/>
          <w:szCs w:val="32"/>
        </w:rPr>
        <w:t>环境</w:t>
      </w:r>
      <w:r>
        <w:rPr>
          <w:sz w:val="32"/>
          <w:szCs w:val="32"/>
        </w:rPr>
        <w:t>标准：</w:t>
      </w:r>
    </w:p>
    <w:p w14:paraId="515C3B32">
      <w:pPr>
        <w:spacing w:line="520" w:lineRule="exact"/>
        <w:ind w:firstLine="640" w:firstLineChars="200"/>
        <w:rPr>
          <w:rFonts w:ascii="Times New Roman"/>
        </w:rPr>
      </w:pPr>
      <w:r>
        <w:rPr>
          <w:rFonts w:ascii="Times New Roman" w:hAnsi="Times New Roman"/>
        </w:rPr>
        <w:t>1</w:t>
      </w:r>
      <w:r>
        <w:rPr>
          <w:rFonts w:hint="eastAsia" w:ascii="Times New Roman"/>
        </w:rPr>
        <w:t>.</w:t>
      </w:r>
      <w:r>
        <w:rPr>
          <w:rFonts w:ascii="Times New Roman"/>
        </w:rPr>
        <w:t>《地下水质量标准》（GB/T14848-2017）</w:t>
      </w:r>
      <w:r>
        <w:rPr>
          <w:rFonts w:hint="eastAsia" w:ascii="Times New Roman"/>
        </w:rPr>
        <w:t>；</w:t>
      </w:r>
    </w:p>
    <w:p w14:paraId="063BE8C4">
      <w:pPr>
        <w:spacing w:line="520" w:lineRule="exact"/>
        <w:ind w:firstLine="640" w:firstLineChars="200"/>
        <w:rPr>
          <w:rFonts w:ascii="Times New Roman"/>
        </w:rPr>
      </w:pPr>
      <w:r>
        <w:rPr>
          <w:rFonts w:hint="eastAsia" w:ascii="Times New Roman"/>
        </w:rPr>
        <w:t>2.《地表水环境质量标准》（GB3838-2002）；</w:t>
      </w:r>
    </w:p>
    <w:p w14:paraId="7F4F8057">
      <w:pPr>
        <w:spacing w:line="520" w:lineRule="exact"/>
        <w:ind w:firstLine="640" w:firstLineChars="200"/>
        <w:rPr>
          <w:color w:val="000000" w:themeColor="text1"/>
        </w:rPr>
      </w:pPr>
      <w:r>
        <w:rPr>
          <w:rFonts w:hint="eastAsia" w:ascii="Times New Roman"/>
        </w:rPr>
        <w:t>3.《土壤环境质量标准 建设用地土壤污染风险管控标准（试行）》（GB36600-2018）;</w:t>
      </w:r>
      <w:r>
        <w:rPr>
          <w:color w:val="000000" w:themeColor="text1"/>
        </w:rPr>
        <w:t xml:space="preserve"> </w:t>
      </w:r>
    </w:p>
    <w:p w14:paraId="109C8FE0">
      <w:pPr>
        <w:spacing w:line="520" w:lineRule="exact"/>
        <w:ind w:firstLine="640" w:firstLineChars="200"/>
        <w:rPr>
          <w:rFonts w:ascii="Times New Roman" w:hAnsi="Times New Roman"/>
          <w:color w:val="FF0000"/>
        </w:rPr>
      </w:pPr>
      <w:r>
        <w:rPr>
          <w:rFonts w:hint="eastAsia" w:ascii="Times New Roman"/>
        </w:rPr>
        <w:t>4.</w:t>
      </w:r>
      <w:r>
        <w:rPr>
          <w:rFonts w:ascii="Times New Roman"/>
        </w:rPr>
        <w:t>《大气污染物综合排放标准》（GB16297-1996）</w:t>
      </w:r>
      <w:r>
        <w:rPr>
          <w:rFonts w:hint="eastAsia" w:ascii="Times New Roman"/>
        </w:rPr>
        <w:t>(其中排放速率DA005与DA003等效执行）；</w:t>
      </w:r>
      <w:r>
        <w:rPr>
          <w:rFonts w:ascii="Times New Roman" w:hAnsi="Times New Roman"/>
          <w:color w:val="FF0000"/>
        </w:rPr>
        <w:t xml:space="preserve"> </w:t>
      </w:r>
    </w:p>
    <w:p w14:paraId="79429DF7">
      <w:pPr>
        <w:spacing w:line="520" w:lineRule="exact"/>
        <w:ind w:firstLine="640" w:firstLineChars="200"/>
      </w:pPr>
      <w:r>
        <w:rPr>
          <w:rFonts w:hint="eastAsia"/>
        </w:rPr>
        <w:t>5.《锅炉大气污染物排标准》（DB12/151-2020）；</w:t>
      </w:r>
    </w:p>
    <w:p w14:paraId="779155B0">
      <w:pPr>
        <w:spacing w:line="520" w:lineRule="exact"/>
        <w:ind w:firstLine="640" w:firstLineChars="200"/>
      </w:pPr>
      <w:r>
        <w:rPr>
          <w:rFonts w:hint="eastAsia"/>
        </w:rPr>
        <w:t>6.《挥发性有机物无组织排放控制标准》（</w:t>
      </w:r>
      <w:r>
        <w:t>GB37822-2019</w:t>
      </w:r>
      <w:r>
        <w:rPr>
          <w:rFonts w:hint="eastAsia"/>
        </w:rPr>
        <w:t>）；</w:t>
      </w:r>
    </w:p>
    <w:p w14:paraId="3670C9EB">
      <w:pPr>
        <w:spacing w:line="520" w:lineRule="exact"/>
        <w:ind w:firstLine="640" w:firstLineChars="200"/>
      </w:pPr>
      <w:r>
        <w:rPr>
          <w:rFonts w:hint="eastAsia"/>
        </w:rPr>
        <w:t>7.《工业企业厂界环境噪声排放标准》（</w:t>
      </w:r>
      <w:r>
        <w:t>GB12348-2008</w:t>
      </w:r>
      <w:r>
        <w:rPr>
          <w:rFonts w:hint="eastAsia"/>
        </w:rPr>
        <w:t>）4类。</w:t>
      </w:r>
    </w:p>
    <w:p w14:paraId="7C687829">
      <w:pPr>
        <w:spacing w:line="520" w:lineRule="exact"/>
        <w:ind w:firstLine="640" w:firstLineChars="200"/>
        <w:rPr>
          <w:rFonts w:ascii="Times New Roman" w:hAnsi="Times New Roman"/>
        </w:rPr>
      </w:pPr>
      <w:r>
        <w:rPr>
          <w:rFonts w:ascii="Times New Roman"/>
        </w:rPr>
        <w:t>此复</w:t>
      </w:r>
      <w:r>
        <w:rPr>
          <w:rFonts w:hint="eastAsia" w:ascii="Times New Roman" w:hAnsi="Times New Roman"/>
        </w:rPr>
        <w:t xml:space="preserve">                         </w:t>
      </w:r>
    </w:p>
    <w:p w14:paraId="636C0918">
      <w:pPr>
        <w:tabs>
          <w:tab w:val="left" w:pos="6804"/>
          <w:tab w:val="left" w:pos="6946"/>
          <w:tab w:val="left" w:pos="7088"/>
          <w:tab w:val="left" w:pos="7230"/>
          <w:tab w:val="left" w:pos="7513"/>
          <w:tab w:val="left" w:pos="7655"/>
          <w:tab w:val="left" w:pos="7797"/>
          <w:tab w:val="left" w:pos="8222"/>
          <w:tab w:val="left" w:pos="8364"/>
          <w:tab w:val="left" w:pos="8789"/>
        </w:tabs>
        <w:spacing w:line="520" w:lineRule="exact"/>
        <w:ind w:right="640" w:firstLine="640" w:firstLineChars="200"/>
        <w:jc w:val="right"/>
        <w:rPr>
          <w:rFonts w:ascii="Times New Roman" w:hAnsi="Times New Roman"/>
        </w:rPr>
      </w:pPr>
    </w:p>
    <w:p w14:paraId="52BD7C01">
      <w:pPr>
        <w:tabs>
          <w:tab w:val="left" w:pos="6804"/>
          <w:tab w:val="left" w:pos="6946"/>
          <w:tab w:val="left" w:pos="7088"/>
          <w:tab w:val="left" w:pos="7230"/>
          <w:tab w:val="left" w:pos="7513"/>
          <w:tab w:val="left" w:pos="7655"/>
          <w:tab w:val="left" w:pos="7797"/>
          <w:tab w:val="left" w:pos="8222"/>
          <w:tab w:val="left" w:pos="8364"/>
          <w:tab w:val="left" w:pos="8789"/>
        </w:tabs>
        <w:spacing w:line="520" w:lineRule="exact"/>
        <w:ind w:right="640" w:firstLine="640" w:firstLineChars="200"/>
        <w:jc w:val="right"/>
        <w:rPr>
          <w:rFonts w:ascii="Times New Roman" w:hAnsi="Times New Roman"/>
        </w:rPr>
      </w:pPr>
    </w:p>
    <w:p w14:paraId="2E8B758D">
      <w:pPr>
        <w:tabs>
          <w:tab w:val="left" w:pos="6804"/>
          <w:tab w:val="left" w:pos="6946"/>
          <w:tab w:val="left" w:pos="7088"/>
          <w:tab w:val="left" w:pos="7230"/>
          <w:tab w:val="left" w:pos="7513"/>
          <w:tab w:val="left" w:pos="7655"/>
          <w:tab w:val="left" w:pos="7797"/>
          <w:tab w:val="left" w:pos="8222"/>
          <w:tab w:val="left" w:pos="8364"/>
          <w:tab w:val="left" w:pos="8789"/>
        </w:tabs>
        <w:wordWrap w:val="0"/>
        <w:spacing w:line="520" w:lineRule="exact"/>
        <w:ind w:right="640" w:firstLine="640" w:firstLineChars="200"/>
        <w:jc w:val="right"/>
        <w:rPr>
          <w:rFonts w:ascii="Times New Roman" w:hAnsi="Times New Roman"/>
        </w:rPr>
      </w:pPr>
    </w:p>
    <w:p w14:paraId="4272EBC8">
      <w:pPr>
        <w:tabs>
          <w:tab w:val="left" w:pos="6804"/>
          <w:tab w:val="left" w:pos="6946"/>
          <w:tab w:val="left" w:pos="7088"/>
          <w:tab w:val="left" w:pos="7230"/>
          <w:tab w:val="left" w:pos="7513"/>
          <w:tab w:val="left" w:pos="7655"/>
          <w:tab w:val="left" w:pos="7797"/>
          <w:tab w:val="left" w:pos="8222"/>
          <w:tab w:val="left" w:pos="8364"/>
          <w:tab w:val="left" w:pos="8789"/>
        </w:tabs>
        <w:wordWrap w:val="0"/>
        <w:spacing w:line="520" w:lineRule="exact"/>
        <w:ind w:right="640" w:firstLine="640" w:firstLineChars="200"/>
        <w:jc w:val="right"/>
        <w:rPr>
          <w:rFonts w:ascii="Times New Roman" w:hAnsi="Times New Roman"/>
        </w:rPr>
      </w:pPr>
      <w:r>
        <w:rPr>
          <w:rFonts w:hint="eastAsia" w:ascii="Times New Roman" w:hAnsi="Times New Roman"/>
        </w:rPr>
        <w:t xml:space="preserve">2025年1月 10日    </w:t>
      </w:r>
    </w:p>
    <w:p w14:paraId="6AFA9345">
      <w:pPr>
        <w:tabs>
          <w:tab w:val="left" w:pos="6804"/>
          <w:tab w:val="left" w:pos="6946"/>
          <w:tab w:val="left" w:pos="7088"/>
          <w:tab w:val="left" w:pos="7230"/>
          <w:tab w:val="left" w:pos="7513"/>
          <w:tab w:val="left" w:pos="7655"/>
          <w:tab w:val="left" w:pos="7797"/>
          <w:tab w:val="left" w:pos="8222"/>
          <w:tab w:val="left" w:pos="8364"/>
          <w:tab w:val="left" w:pos="8789"/>
        </w:tabs>
        <w:spacing w:line="520" w:lineRule="exact"/>
        <w:ind w:right="640" w:firstLine="640" w:firstLineChars="200"/>
        <w:jc w:val="right"/>
        <w:rPr>
          <w:rFonts w:ascii="Times New Roman" w:hAnsi="Times New Roman"/>
        </w:rPr>
      </w:pPr>
    </w:p>
    <w:p w14:paraId="0A3E0102">
      <w:pPr>
        <w:tabs>
          <w:tab w:val="left" w:pos="6804"/>
          <w:tab w:val="left" w:pos="6946"/>
          <w:tab w:val="left" w:pos="7088"/>
          <w:tab w:val="left" w:pos="7230"/>
          <w:tab w:val="left" w:pos="7513"/>
          <w:tab w:val="left" w:pos="7655"/>
          <w:tab w:val="left" w:pos="7797"/>
          <w:tab w:val="left" w:pos="8222"/>
          <w:tab w:val="left" w:pos="8364"/>
          <w:tab w:val="left" w:pos="8789"/>
        </w:tabs>
        <w:spacing w:line="520" w:lineRule="exact"/>
        <w:ind w:right="640" w:firstLine="640" w:firstLineChars="200"/>
        <w:jc w:val="right"/>
        <w:rPr>
          <w:rFonts w:ascii="Times New Roman" w:hAnsi="Times New Roman"/>
        </w:rPr>
      </w:pPr>
    </w:p>
    <w:p w14:paraId="2026E5C2">
      <w:pPr>
        <w:rPr>
          <w:rFonts w:eastAsia="黑体"/>
        </w:rPr>
      </w:pPr>
    </w:p>
    <w:p w14:paraId="6E67C774">
      <w:r>
        <w:rPr>
          <w:rFonts w:eastAsia="黑体"/>
        </w:rPr>
        <w:t>主题词：</w:t>
      </w:r>
      <w:r>
        <w:t>环境影响 报告</w:t>
      </w:r>
      <w:r>
        <w:rPr>
          <w:rFonts w:hint="eastAsia"/>
        </w:rPr>
        <w:t>表</w:t>
      </w:r>
      <w:r>
        <w:t xml:space="preserve"> 批复                （共印</w:t>
      </w:r>
      <w:r>
        <w:rPr>
          <w:rFonts w:hint="eastAsia"/>
        </w:rPr>
        <w:t>3</w:t>
      </w:r>
      <w:r>
        <w:t>份）</w:t>
      </w:r>
    </w:p>
    <w:tbl>
      <w:tblPr>
        <w:tblStyle w:val="9"/>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1242"/>
        <w:gridCol w:w="3922"/>
        <w:gridCol w:w="3890"/>
      </w:tblGrid>
      <w:tr w14:paraId="4CDEFE0C">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1242" w:type="dxa"/>
            <w:tcBorders>
              <w:top w:val="single" w:color="auto" w:sz="8" w:space="0"/>
              <w:bottom w:val="single" w:color="auto" w:sz="8" w:space="0"/>
            </w:tcBorders>
          </w:tcPr>
          <w:p w14:paraId="3B3951C1">
            <w:pPr>
              <w:ind w:right="160"/>
              <w:jc w:val="right"/>
              <w:rPr>
                <w:rFonts w:eastAsia="黑体"/>
              </w:rPr>
            </w:pPr>
            <w:r>
              <w:rPr>
                <w:rFonts w:eastAsia="黑体"/>
              </w:rPr>
              <w:t>抄送：</w:t>
            </w:r>
          </w:p>
        </w:tc>
        <w:tc>
          <w:tcPr>
            <w:tcW w:w="7812" w:type="dxa"/>
            <w:gridSpan w:val="2"/>
            <w:tcBorders>
              <w:top w:val="single" w:color="auto" w:sz="8" w:space="0"/>
              <w:bottom w:val="single" w:color="auto" w:sz="8" w:space="0"/>
            </w:tcBorders>
          </w:tcPr>
          <w:p w14:paraId="3C72CE94">
            <w:r>
              <w:t>天津市滨海新区</w:t>
            </w:r>
            <w:r>
              <w:rPr>
                <w:rFonts w:hint="eastAsia"/>
              </w:rPr>
              <w:t>生态</w:t>
            </w:r>
            <w:r>
              <w:t>环境局</w:t>
            </w:r>
          </w:p>
        </w:tc>
      </w:tr>
      <w:tr w14:paraId="2E684FD9">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5164" w:type="dxa"/>
            <w:gridSpan w:val="2"/>
            <w:tcBorders>
              <w:top w:val="single" w:color="auto" w:sz="8" w:space="0"/>
            </w:tcBorders>
          </w:tcPr>
          <w:p w14:paraId="0D99C079">
            <w:r>
              <w:rPr>
                <w:rFonts w:hint="eastAsia"/>
              </w:rPr>
              <w:t>天津市滨海新区行政审批局</w:t>
            </w:r>
          </w:p>
        </w:tc>
        <w:tc>
          <w:tcPr>
            <w:tcW w:w="3890" w:type="dxa"/>
            <w:tcBorders>
              <w:top w:val="single" w:color="auto" w:sz="8" w:space="0"/>
            </w:tcBorders>
          </w:tcPr>
          <w:p w14:paraId="0243FD71">
            <w:pPr>
              <w:wordWrap w:val="0"/>
              <w:ind w:right="320" w:rightChars="100"/>
              <w:jc w:val="right"/>
            </w:pPr>
            <w:r>
              <w:rPr>
                <w:rFonts w:ascii="Times New Roman" w:hAnsi="Times New Roman"/>
              </w:rPr>
              <w:t>20</w:t>
            </w:r>
            <w:r>
              <w:rPr>
                <w:rFonts w:hint="eastAsia" w:ascii="Times New Roman" w:hAnsi="Times New Roman"/>
              </w:rPr>
              <w:t>25</w:t>
            </w:r>
            <w:r>
              <w:rPr>
                <w:rFonts w:ascii="Times New Roman" w:hAnsi="Times New Roman"/>
              </w:rPr>
              <w:t>年</w:t>
            </w:r>
            <w:r>
              <w:rPr>
                <w:rFonts w:hint="eastAsia" w:ascii="Times New Roman" w:hAnsi="Times New Roman"/>
              </w:rPr>
              <w:t>1月10</w:t>
            </w:r>
            <w:r>
              <w:rPr>
                <w:rFonts w:ascii="Times New Roman" w:hAnsi="Times New Roman"/>
              </w:rPr>
              <w:t>日</w:t>
            </w:r>
            <w:r>
              <w:t>印发</w:t>
            </w:r>
          </w:p>
        </w:tc>
      </w:tr>
    </w:tbl>
    <w:p w14:paraId="4C13F9C9"/>
    <w:sectPr>
      <w:headerReference r:id="rId3" w:type="default"/>
      <w:footerReference r:id="rId4"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9765"/>
    </w:sdtPr>
    <w:sdtContent>
      <w:p w14:paraId="0DB008EB">
        <w:pPr>
          <w:pStyle w:val="8"/>
          <w:jc w:val="center"/>
        </w:pPr>
        <w:r>
          <w:fldChar w:fldCharType="begin"/>
        </w:r>
        <w:r>
          <w:instrText xml:space="preserve"> PAGE   \* MERGEFORMAT </w:instrText>
        </w:r>
        <w:r>
          <w:fldChar w:fldCharType="separate"/>
        </w:r>
        <w:r>
          <w:rPr>
            <w:lang w:val="zh-CN"/>
          </w:rPr>
          <w:t>3</w:t>
        </w:r>
        <w:r>
          <w:rPr>
            <w:lang w:val="zh-CN"/>
          </w:rPr>
          <w:fldChar w:fldCharType="end"/>
        </w:r>
      </w:p>
    </w:sdtContent>
  </w:sdt>
  <w:p w14:paraId="14080E9F">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9F388">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5E4B9D"/>
    <w:rsid w:val="000000ED"/>
    <w:rsid w:val="00002A0A"/>
    <w:rsid w:val="000077E5"/>
    <w:rsid w:val="00017EFA"/>
    <w:rsid w:val="00021047"/>
    <w:rsid w:val="00024787"/>
    <w:rsid w:val="00032953"/>
    <w:rsid w:val="0003541A"/>
    <w:rsid w:val="00040AD7"/>
    <w:rsid w:val="00042FF3"/>
    <w:rsid w:val="00044211"/>
    <w:rsid w:val="00047C18"/>
    <w:rsid w:val="000548CC"/>
    <w:rsid w:val="00055E4A"/>
    <w:rsid w:val="00056885"/>
    <w:rsid w:val="00062FED"/>
    <w:rsid w:val="00063BE2"/>
    <w:rsid w:val="00064CC1"/>
    <w:rsid w:val="00067FD5"/>
    <w:rsid w:val="00077ADA"/>
    <w:rsid w:val="00077B4E"/>
    <w:rsid w:val="000806AD"/>
    <w:rsid w:val="00080A98"/>
    <w:rsid w:val="000834E6"/>
    <w:rsid w:val="00085EF5"/>
    <w:rsid w:val="0008666F"/>
    <w:rsid w:val="000931B0"/>
    <w:rsid w:val="000931CA"/>
    <w:rsid w:val="000932BB"/>
    <w:rsid w:val="0009352D"/>
    <w:rsid w:val="00093C99"/>
    <w:rsid w:val="00096062"/>
    <w:rsid w:val="00097DA8"/>
    <w:rsid w:val="000A0A7C"/>
    <w:rsid w:val="000A53D6"/>
    <w:rsid w:val="000B7E3D"/>
    <w:rsid w:val="000C0B09"/>
    <w:rsid w:val="000C2100"/>
    <w:rsid w:val="000D1DDA"/>
    <w:rsid w:val="000D37A5"/>
    <w:rsid w:val="000D45D0"/>
    <w:rsid w:val="000E03EA"/>
    <w:rsid w:val="000E069B"/>
    <w:rsid w:val="000E1CBE"/>
    <w:rsid w:val="000E209C"/>
    <w:rsid w:val="000F7EEF"/>
    <w:rsid w:val="0011736F"/>
    <w:rsid w:val="0012627B"/>
    <w:rsid w:val="00127AE7"/>
    <w:rsid w:val="00131E9C"/>
    <w:rsid w:val="00143B34"/>
    <w:rsid w:val="00151F7B"/>
    <w:rsid w:val="00155A9A"/>
    <w:rsid w:val="001602A8"/>
    <w:rsid w:val="001663F8"/>
    <w:rsid w:val="001708D6"/>
    <w:rsid w:val="00175B24"/>
    <w:rsid w:val="00183379"/>
    <w:rsid w:val="0019193B"/>
    <w:rsid w:val="00195540"/>
    <w:rsid w:val="00196581"/>
    <w:rsid w:val="001976F3"/>
    <w:rsid w:val="001A21BB"/>
    <w:rsid w:val="001A3DFC"/>
    <w:rsid w:val="001B066E"/>
    <w:rsid w:val="001C0D5B"/>
    <w:rsid w:val="001C71C4"/>
    <w:rsid w:val="001D403C"/>
    <w:rsid w:val="001D55C1"/>
    <w:rsid w:val="001E44A6"/>
    <w:rsid w:val="001F2D1D"/>
    <w:rsid w:val="001F3EDC"/>
    <w:rsid w:val="002014D5"/>
    <w:rsid w:val="00203B29"/>
    <w:rsid w:val="0020596A"/>
    <w:rsid w:val="00210B83"/>
    <w:rsid w:val="00210E1E"/>
    <w:rsid w:val="002225C4"/>
    <w:rsid w:val="00231DC7"/>
    <w:rsid w:val="0024430E"/>
    <w:rsid w:val="0024456C"/>
    <w:rsid w:val="0024608A"/>
    <w:rsid w:val="002608D0"/>
    <w:rsid w:val="00261B2D"/>
    <w:rsid w:val="00264D72"/>
    <w:rsid w:val="00265F97"/>
    <w:rsid w:val="0027460C"/>
    <w:rsid w:val="00275DD8"/>
    <w:rsid w:val="00282601"/>
    <w:rsid w:val="002858A4"/>
    <w:rsid w:val="002A2E15"/>
    <w:rsid w:val="002A61D2"/>
    <w:rsid w:val="002B2446"/>
    <w:rsid w:val="002B4C5E"/>
    <w:rsid w:val="002B607C"/>
    <w:rsid w:val="002B7DD3"/>
    <w:rsid w:val="002C15B6"/>
    <w:rsid w:val="002C7B8F"/>
    <w:rsid w:val="002D4DA6"/>
    <w:rsid w:val="002D7082"/>
    <w:rsid w:val="002D7B03"/>
    <w:rsid w:val="002E1824"/>
    <w:rsid w:val="002E1F70"/>
    <w:rsid w:val="002E692F"/>
    <w:rsid w:val="002F7A51"/>
    <w:rsid w:val="00310B46"/>
    <w:rsid w:val="00325C11"/>
    <w:rsid w:val="003276C0"/>
    <w:rsid w:val="00330A22"/>
    <w:rsid w:val="00336F06"/>
    <w:rsid w:val="00344556"/>
    <w:rsid w:val="00346E41"/>
    <w:rsid w:val="00351A82"/>
    <w:rsid w:val="003631B1"/>
    <w:rsid w:val="003703D9"/>
    <w:rsid w:val="00371D93"/>
    <w:rsid w:val="00371F2C"/>
    <w:rsid w:val="00373B1A"/>
    <w:rsid w:val="00373E71"/>
    <w:rsid w:val="00374E8D"/>
    <w:rsid w:val="00380065"/>
    <w:rsid w:val="00390C7F"/>
    <w:rsid w:val="00393849"/>
    <w:rsid w:val="0039472D"/>
    <w:rsid w:val="00395C48"/>
    <w:rsid w:val="003A0AF9"/>
    <w:rsid w:val="003A1334"/>
    <w:rsid w:val="003A397F"/>
    <w:rsid w:val="003A3EBD"/>
    <w:rsid w:val="003C657C"/>
    <w:rsid w:val="003D7B4C"/>
    <w:rsid w:val="003E02CA"/>
    <w:rsid w:val="003E18B7"/>
    <w:rsid w:val="003E29CF"/>
    <w:rsid w:val="003E7B28"/>
    <w:rsid w:val="003F04B9"/>
    <w:rsid w:val="003F5629"/>
    <w:rsid w:val="003F77FA"/>
    <w:rsid w:val="0040020E"/>
    <w:rsid w:val="00404088"/>
    <w:rsid w:val="0041139B"/>
    <w:rsid w:val="004206D8"/>
    <w:rsid w:val="00421E27"/>
    <w:rsid w:val="0042398D"/>
    <w:rsid w:val="00427887"/>
    <w:rsid w:val="00431B4A"/>
    <w:rsid w:val="0043662D"/>
    <w:rsid w:val="004614CE"/>
    <w:rsid w:val="004646FB"/>
    <w:rsid w:val="00470DF8"/>
    <w:rsid w:val="00471DD2"/>
    <w:rsid w:val="00475631"/>
    <w:rsid w:val="004831E2"/>
    <w:rsid w:val="00484069"/>
    <w:rsid w:val="0048593A"/>
    <w:rsid w:val="00495B78"/>
    <w:rsid w:val="004969DE"/>
    <w:rsid w:val="004A5F7D"/>
    <w:rsid w:val="004B1790"/>
    <w:rsid w:val="004B1B4C"/>
    <w:rsid w:val="004B1D77"/>
    <w:rsid w:val="004B344A"/>
    <w:rsid w:val="004B6554"/>
    <w:rsid w:val="004B6CF6"/>
    <w:rsid w:val="004C45DF"/>
    <w:rsid w:val="004C5D6A"/>
    <w:rsid w:val="004E63D4"/>
    <w:rsid w:val="004F193A"/>
    <w:rsid w:val="004F5D03"/>
    <w:rsid w:val="005128CD"/>
    <w:rsid w:val="00514D56"/>
    <w:rsid w:val="00520063"/>
    <w:rsid w:val="00535942"/>
    <w:rsid w:val="005413E6"/>
    <w:rsid w:val="00542C61"/>
    <w:rsid w:val="00543765"/>
    <w:rsid w:val="005537B6"/>
    <w:rsid w:val="00577495"/>
    <w:rsid w:val="00585DE1"/>
    <w:rsid w:val="00585EB7"/>
    <w:rsid w:val="005860F7"/>
    <w:rsid w:val="00597D45"/>
    <w:rsid w:val="005A3B98"/>
    <w:rsid w:val="005A58A9"/>
    <w:rsid w:val="005A6D2D"/>
    <w:rsid w:val="005B1982"/>
    <w:rsid w:val="005B2AAF"/>
    <w:rsid w:val="005C4AB4"/>
    <w:rsid w:val="005C5B5E"/>
    <w:rsid w:val="005D1915"/>
    <w:rsid w:val="005E1F3E"/>
    <w:rsid w:val="005E2FEA"/>
    <w:rsid w:val="005E4B9D"/>
    <w:rsid w:val="005F1ECA"/>
    <w:rsid w:val="005F2674"/>
    <w:rsid w:val="005F4F6F"/>
    <w:rsid w:val="00611936"/>
    <w:rsid w:val="00613E5D"/>
    <w:rsid w:val="00614CAB"/>
    <w:rsid w:val="00630E95"/>
    <w:rsid w:val="00635419"/>
    <w:rsid w:val="00635EA9"/>
    <w:rsid w:val="0063672A"/>
    <w:rsid w:val="00637D80"/>
    <w:rsid w:val="00641380"/>
    <w:rsid w:val="00641676"/>
    <w:rsid w:val="00644BE7"/>
    <w:rsid w:val="00645767"/>
    <w:rsid w:val="0065312E"/>
    <w:rsid w:val="00654D5F"/>
    <w:rsid w:val="00660EAC"/>
    <w:rsid w:val="006617DA"/>
    <w:rsid w:val="006618CE"/>
    <w:rsid w:val="006700E6"/>
    <w:rsid w:val="00672AB5"/>
    <w:rsid w:val="00680C6E"/>
    <w:rsid w:val="006814DD"/>
    <w:rsid w:val="00687F41"/>
    <w:rsid w:val="0069481E"/>
    <w:rsid w:val="006952E6"/>
    <w:rsid w:val="006A3C27"/>
    <w:rsid w:val="006A3CA1"/>
    <w:rsid w:val="006B0572"/>
    <w:rsid w:val="006C5EDA"/>
    <w:rsid w:val="006C666D"/>
    <w:rsid w:val="006C6966"/>
    <w:rsid w:val="006C7509"/>
    <w:rsid w:val="006D0535"/>
    <w:rsid w:val="006D1E00"/>
    <w:rsid w:val="006E089C"/>
    <w:rsid w:val="006E29BD"/>
    <w:rsid w:val="006E7736"/>
    <w:rsid w:val="0070112D"/>
    <w:rsid w:val="0073526A"/>
    <w:rsid w:val="00745C96"/>
    <w:rsid w:val="00746C49"/>
    <w:rsid w:val="00764376"/>
    <w:rsid w:val="0077289E"/>
    <w:rsid w:val="007770C6"/>
    <w:rsid w:val="00783770"/>
    <w:rsid w:val="007838F6"/>
    <w:rsid w:val="00785125"/>
    <w:rsid w:val="007878B2"/>
    <w:rsid w:val="007937C9"/>
    <w:rsid w:val="00794183"/>
    <w:rsid w:val="007A22B2"/>
    <w:rsid w:val="007A42BF"/>
    <w:rsid w:val="007A62CF"/>
    <w:rsid w:val="007A70F9"/>
    <w:rsid w:val="007B600E"/>
    <w:rsid w:val="007C49A0"/>
    <w:rsid w:val="007C5CCE"/>
    <w:rsid w:val="007E0239"/>
    <w:rsid w:val="007F3A11"/>
    <w:rsid w:val="007F45F1"/>
    <w:rsid w:val="007F7F4B"/>
    <w:rsid w:val="00800908"/>
    <w:rsid w:val="0082033A"/>
    <w:rsid w:val="00834E43"/>
    <w:rsid w:val="00836613"/>
    <w:rsid w:val="00854762"/>
    <w:rsid w:val="008773DC"/>
    <w:rsid w:val="0088082E"/>
    <w:rsid w:val="00880ACF"/>
    <w:rsid w:val="008843BD"/>
    <w:rsid w:val="0089128F"/>
    <w:rsid w:val="008B3585"/>
    <w:rsid w:val="008B3C8D"/>
    <w:rsid w:val="008B64A3"/>
    <w:rsid w:val="008B7B69"/>
    <w:rsid w:val="008B7F60"/>
    <w:rsid w:val="008E337A"/>
    <w:rsid w:val="008E7A7C"/>
    <w:rsid w:val="00905F97"/>
    <w:rsid w:val="00914185"/>
    <w:rsid w:val="00915B0E"/>
    <w:rsid w:val="00922DCA"/>
    <w:rsid w:val="009329D7"/>
    <w:rsid w:val="00932A5B"/>
    <w:rsid w:val="0093523F"/>
    <w:rsid w:val="009405B8"/>
    <w:rsid w:val="00943995"/>
    <w:rsid w:val="00951076"/>
    <w:rsid w:val="0095254B"/>
    <w:rsid w:val="00960614"/>
    <w:rsid w:val="00962EEA"/>
    <w:rsid w:val="00971CA7"/>
    <w:rsid w:val="00975612"/>
    <w:rsid w:val="00975A90"/>
    <w:rsid w:val="00983896"/>
    <w:rsid w:val="00987274"/>
    <w:rsid w:val="00992890"/>
    <w:rsid w:val="009A01DB"/>
    <w:rsid w:val="009A1CDD"/>
    <w:rsid w:val="009A26A1"/>
    <w:rsid w:val="009A38D1"/>
    <w:rsid w:val="009A6638"/>
    <w:rsid w:val="009B3B1A"/>
    <w:rsid w:val="009C1AD6"/>
    <w:rsid w:val="009C2978"/>
    <w:rsid w:val="009D0145"/>
    <w:rsid w:val="009D5CD3"/>
    <w:rsid w:val="009E34EE"/>
    <w:rsid w:val="00A00F99"/>
    <w:rsid w:val="00A1098A"/>
    <w:rsid w:val="00A1188C"/>
    <w:rsid w:val="00A144E3"/>
    <w:rsid w:val="00A17D40"/>
    <w:rsid w:val="00A21502"/>
    <w:rsid w:val="00A270E7"/>
    <w:rsid w:val="00A373B9"/>
    <w:rsid w:val="00A46A05"/>
    <w:rsid w:val="00A47243"/>
    <w:rsid w:val="00A477A7"/>
    <w:rsid w:val="00A51802"/>
    <w:rsid w:val="00A5585F"/>
    <w:rsid w:val="00A6581B"/>
    <w:rsid w:val="00A66C37"/>
    <w:rsid w:val="00A820B7"/>
    <w:rsid w:val="00A8352F"/>
    <w:rsid w:val="00A87B5F"/>
    <w:rsid w:val="00A952D5"/>
    <w:rsid w:val="00A95D77"/>
    <w:rsid w:val="00AA23AE"/>
    <w:rsid w:val="00AA52FC"/>
    <w:rsid w:val="00AB0337"/>
    <w:rsid w:val="00AB1BC3"/>
    <w:rsid w:val="00AB5754"/>
    <w:rsid w:val="00AC54A2"/>
    <w:rsid w:val="00AD4B10"/>
    <w:rsid w:val="00AD5519"/>
    <w:rsid w:val="00AE07C3"/>
    <w:rsid w:val="00AE2071"/>
    <w:rsid w:val="00AE2FBB"/>
    <w:rsid w:val="00AE3626"/>
    <w:rsid w:val="00AE466E"/>
    <w:rsid w:val="00AE51DF"/>
    <w:rsid w:val="00AF1EA3"/>
    <w:rsid w:val="00AF6F47"/>
    <w:rsid w:val="00B01A96"/>
    <w:rsid w:val="00B01DED"/>
    <w:rsid w:val="00B02152"/>
    <w:rsid w:val="00B067C2"/>
    <w:rsid w:val="00B13FB6"/>
    <w:rsid w:val="00B22DB1"/>
    <w:rsid w:val="00B31641"/>
    <w:rsid w:val="00B37379"/>
    <w:rsid w:val="00B56AAE"/>
    <w:rsid w:val="00B57588"/>
    <w:rsid w:val="00B57FF0"/>
    <w:rsid w:val="00B624CD"/>
    <w:rsid w:val="00B64083"/>
    <w:rsid w:val="00B673ED"/>
    <w:rsid w:val="00B70DC0"/>
    <w:rsid w:val="00B739DA"/>
    <w:rsid w:val="00B7639D"/>
    <w:rsid w:val="00B84011"/>
    <w:rsid w:val="00B927C8"/>
    <w:rsid w:val="00B96FA4"/>
    <w:rsid w:val="00BA02E4"/>
    <w:rsid w:val="00BA02ED"/>
    <w:rsid w:val="00BA2C98"/>
    <w:rsid w:val="00BA45D7"/>
    <w:rsid w:val="00BB75D5"/>
    <w:rsid w:val="00BC25B7"/>
    <w:rsid w:val="00BC3FF8"/>
    <w:rsid w:val="00BD4A63"/>
    <w:rsid w:val="00BE374B"/>
    <w:rsid w:val="00BE38C8"/>
    <w:rsid w:val="00BE56E3"/>
    <w:rsid w:val="00BE5984"/>
    <w:rsid w:val="00BF05E9"/>
    <w:rsid w:val="00BF09DE"/>
    <w:rsid w:val="00BF5079"/>
    <w:rsid w:val="00BF708D"/>
    <w:rsid w:val="00BF77C8"/>
    <w:rsid w:val="00C04DD9"/>
    <w:rsid w:val="00C2482D"/>
    <w:rsid w:val="00C248D3"/>
    <w:rsid w:val="00C24A81"/>
    <w:rsid w:val="00C24C19"/>
    <w:rsid w:val="00C26759"/>
    <w:rsid w:val="00C3090B"/>
    <w:rsid w:val="00C41EF9"/>
    <w:rsid w:val="00C4696B"/>
    <w:rsid w:val="00C5235E"/>
    <w:rsid w:val="00C66115"/>
    <w:rsid w:val="00C71D07"/>
    <w:rsid w:val="00C74B54"/>
    <w:rsid w:val="00C76135"/>
    <w:rsid w:val="00C76B70"/>
    <w:rsid w:val="00C93BD6"/>
    <w:rsid w:val="00CA7CE6"/>
    <w:rsid w:val="00CB3B56"/>
    <w:rsid w:val="00CB445D"/>
    <w:rsid w:val="00CD60AB"/>
    <w:rsid w:val="00CE3A5A"/>
    <w:rsid w:val="00CE50C2"/>
    <w:rsid w:val="00CE727D"/>
    <w:rsid w:val="00D04168"/>
    <w:rsid w:val="00D05CEE"/>
    <w:rsid w:val="00D07579"/>
    <w:rsid w:val="00D2190F"/>
    <w:rsid w:val="00D23537"/>
    <w:rsid w:val="00D26FFE"/>
    <w:rsid w:val="00D36EE4"/>
    <w:rsid w:val="00D43EFC"/>
    <w:rsid w:val="00D5178D"/>
    <w:rsid w:val="00D52B0E"/>
    <w:rsid w:val="00D56CEF"/>
    <w:rsid w:val="00D60F28"/>
    <w:rsid w:val="00D74BAE"/>
    <w:rsid w:val="00D94456"/>
    <w:rsid w:val="00D949FB"/>
    <w:rsid w:val="00D950F8"/>
    <w:rsid w:val="00DA353D"/>
    <w:rsid w:val="00DB1C01"/>
    <w:rsid w:val="00DC203A"/>
    <w:rsid w:val="00DC4A11"/>
    <w:rsid w:val="00DC63DD"/>
    <w:rsid w:val="00DD25A3"/>
    <w:rsid w:val="00DE780B"/>
    <w:rsid w:val="00DF37C0"/>
    <w:rsid w:val="00DF3855"/>
    <w:rsid w:val="00DF4F33"/>
    <w:rsid w:val="00E13E17"/>
    <w:rsid w:val="00E163F4"/>
    <w:rsid w:val="00E22F90"/>
    <w:rsid w:val="00E2523D"/>
    <w:rsid w:val="00E312EA"/>
    <w:rsid w:val="00E45940"/>
    <w:rsid w:val="00E504D9"/>
    <w:rsid w:val="00E574A1"/>
    <w:rsid w:val="00E576AA"/>
    <w:rsid w:val="00E63B55"/>
    <w:rsid w:val="00E64A32"/>
    <w:rsid w:val="00E73A6B"/>
    <w:rsid w:val="00E765CB"/>
    <w:rsid w:val="00E76CAF"/>
    <w:rsid w:val="00E802EC"/>
    <w:rsid w:val="00E821A2"/>
    <w:rsid w:val="00E872A0"/>
    <w:rsid w:val="00E95586"/>
    <w:rsid w:val="00EA018F"/>
    <w:rsid w:val="00EA7883"/>
    <w:rsid w:val="00EB1667"/>
    <w:rsid w:val="00EB5672"/>
    <w:rsid w:val="00EC51BA"/>
    <w:rsid w:val="00ED4449"/>
    <w:rsid w:val="00ED79C2"/>
    <w:rsid w:val="00EE1F06"/>
    <w:rsid w:val="00EE23A3"/>
    <w:rsid w:val="00EF0E47"/>
    <w:rsid w:val="00F00BFA"/>
    <w:rsid w:val="00F142DC"/>
    <w:rsid w:val="00F35AD7"/>
    <w:rsid w:val="00F4088D"/>
    <w:rsid w:val="00F44931"/>
    <w:rsid w:val="00F51346"/>
    <w:rsid w:val="00F62653"/>
    <w:rsid w:val="00F74308"/>
    <w:rsid w:val="00FA5273"/>
    <w:rsid w:val="00FD223C"/>
    <w:rsid w:val="00FE7518"/>
    <w:rsid w:val="00FE7956"/>
    <w:rsid w:val="00FF2EEF"/>
    <w:rsid w:val="00FF61EA"/>
    <w:rsid w:val="01740FA6"/>
    <w:rsid w:val="026223A4"/>
    <w:rsid w:val="03277AEE"/>
    <w:rsid w:val="03BC13EC"/>
    <w:rsid w:val="04794817"/>
    <w:rsid w:val="049F51EA"/>
    <w:rsid w:val="09BF05F1"/>
    <w:rsid w:val="0EBF5D6C"/>
    <w:rsid w:val="10C40B26"/>
    <w:rsid w:val="11860AFB"/>
    <w:rsid w:val="14645659"/>
    <w:rsid w:val="15906A89"/>
    <w:rsid w:val="17C66775"/>
    <w:rsid w:val="18770142"/>
    <w:rsid w:val="19A02B60"/>
    <w:rsid w:val="1B067D19"/>
    <w:rsid w:val="20BD4F1E"/>
    <w:rsid w:val="21FA61F2"/>
    <w:rsid w:val="22503B80"/>
    <w:rsid w:val="249C309C"/>
    <w:rsid w:val="286F144A"/>
    <w:rsid w:val="298F17BF"/>
    <w:rsid w:val="2BE42BD3"/>
    <w:rsid w:val="2CA67E37"/>
    <w:rsid w:val="30F607F1"/>
    <w:rsid w:val="317136CD"/>
    <w:rsid w:val="31AC24EA"/>
    <w:rsid w:val="366337ED"/>
    <w:rsid w:val="3E0A124F"/>
    <w:rsid w:val="43727992"/>
    <w:rsid w:val="45933C72"/>
    <w:rsid w:val="472C15E5"/>
    <w:rsid w:val="4B4345C1"/>
    <w:rsid w:val="4C3B6976"/>
    <w:rsid w:val="51160414"/>
    <w:rsid w:val="51DC2670"/>
    <w:rsid w:val="548B2661"/>
    <w:rsid w:val="54C27A80"/>
    <w:rsid w:val="555761E8"/>
    <w:rsid w:val="57904998"/>
    <w:rsid w:val="5C690FBE"/>
    <w:rsid w:val="5CED210B"/>
    <w:rsid w:val="5FCA5CA8"/>
    <w:rsid w:val="61593D0C"/>
    <w:rsid w:val="623B37C7"/>
    <w:rsid w:val="625247BE"/>
    <w:rsid w:val="63D53BEC"/>
    <w:rsid w:val="67DB7004"/>
    <w:rsid w:val="68EB2C3F"/>
    <w:rsid w:val="68EC03E8"/>
    <w:rsid w:val="6CAC6DB4"/>
    <w:rsid w:val="6D53268A"/>
    <w:rsid w:val="6E5B3674"/>
    <w:rsid w:val="6F0736D9"/>
    <w:rsid w:val="73AF76A0"/>
    <w:rsid w:val="753C7334"/>
    <w:rsid w:val="76817CF6"/>
    <w:rsid w:val="7B7F61CD"/>
    <w:rsid w:val="7F4738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Indent"/>
    <w:basedOn w:val="1"/>
    <w:link w:val="14"/>
    <w:qFormat/>
    <w:uiPriority w:val="0"/>
    <w:pPr>
      <w:ind w:firstLine="420" w:firstLineChars="200"/>
    </w:pPr>
  </w:style>
  <w:style w:type="paragraph" w:styleId="4">
    <w:name w:val="annotation text"/>
    <w:basedOn w:val="1"/>
    <w:link w:val="17"/>
    <w:qFormat/>
    <w:uiPriority w:val="0"/>
    <w:pPr>
      <w:jc w:val="left"/>
    </w:pPr>
  </w:style>
  <w:style w:type="paragraph" w:styleId="5">
    <w:name w:val="Body Text Indent"/>
    <w:basedOn w:val="1"/>
    <w:qFormat/>
    <w:uiPriority w:val="0"/>
    <w:pPr>
      <w:ind w:firstLine="600"/>
    </w:pPr>
    <w:rPr>
      <w:rFonts w:ascii="仿宋_GB2312"/>
      <w:sz w:val="30"/>
    </w:rPr>
  </w:style>
  <w:style w:type="paragraph" w:styleId="6">
    <w:name w:val="Date"/>
    <w:basedOn w:val="1"/>
    <w:next w:val="1"/>
    <w:link w:val="15"/>
    <w:qFormat/>
    <w:uiPriority w:val="0"/>
    <w:pPr>
      <w:ind w:left="100" w:leftChars="2500"/>
    </w:pPr>
  </w:style>
  <w:style w:type="paragraph" w:styleId="7">
    <w:name w:val="Balloon Text"/>
    <w:basedOn w:val="1"/>
    <w:link w:val="16"/>
    <w:qFormat/>
    <w:uiPriority w:val="0"/>
    <w:rPr>
      <w:sz w:val="18"/>
      <w:szCs w:val="18"/>
    </w:rPr>
  </w:style>
  <w:style w:type="paragraph" w:styleId="8">
    <w:name w:val="footer"/>
    <w:basedOn w:val="1"/>
    <w:link w:val="11"/>
    <w:qFormat/>
    <w:uiPriority w:val="99"/>
    <w:pPr>
      <w:tabs>
        <w:tab w:val="center" w:pos="4153"/>
        <w:tab w:val="right" w:pos="8306"/>
      </w:tabs>
      <w:snapToGrid w:val="0"/>
      <w:jc w:val="left"/>
    </w:pPr>
    <w:rPr>
      <w:sz w:val="18"/>
      <w:szCs w:val="18"/>
    </w:rPr>
  </w:style>
  <w:style w:type="character" w:customStyle="1" w:styleId="11">
    <w:name w:val="页脚 Char"/>
    <w:basedOn w:val="10"/>
    <w:link w:val="8"/>
    <w:qFormat/>
    <w:uiPriority w:val="99"/>
    <w:rPr>
      <w:rFonts w:eastAsia="仿宋_GB2312"/>
      <w:kern w:val="2"/>
      <w:sz w:val="18"/>
      <w:szCs w:val="18"/>
    </w:rPr>
  </w:style>
  <w:style w:type="paragraph" w:customStyle="1" w:styleId="12">
    <w:name w:val="中文报告书样式"/>
    <w:basedOn w:val="1"/>
    <w:link w:val="13"/>
    <w:qFormat/>
    <w:uiPriority w:val="0"/>
    <w:pPr>
      <w:adjustRightInd w:val="0"/>
      <w:spacing w:line="420" w:lineRule="atLeast"/>
      <w:jc w:val="left"/>
      <w:textAlignment w:val="baseline"/>
    </w:pPr>
    <w:rPr>
      <w:rFonts w:ascii="Times New Roman" w:hAnsi="Times New Roman"/>
      <w:kern w:val="24"/>
      <w:sz w:val="24"/>
      <w:szCs w:val="20"/>
    </w:rPr>
  </w:style>
  <w:style w:type="character" w:customStyle="1" w:styleId="13">
    <w:name w:val="中文报告书样式 Char1"/>
    <w:basedOn w:val="10"/>
    <w:link w:val="12"/>
    <w:qFormat/>
    <w:locked/>
    <w:uiPriority w:val="0"/>
    <w:rPr>
      <w:rFonts w:ascii="Times New Roman" w:hAnsi="Times New Roman" w:eastAsia="仿宋_GB2312"/>
      <w:kern w:val="24"/>
      <w:sz w:val="24"/>
    </w:rPr>
  </w:style>
  <w:style w:type="character" w:customStyle="1" w:styleId="14">
    <w:name w:val="正文缩进 Char"/>
    <w:basedOn w:val="10"/>
    <w:link w:val="3"/>
    <w:qFormat/>
    <w:uiPriority w:val="0"/>
    <w:rPr>
      <w:rFonts w:eastAsia="仿宋_GB2312"/>
      <w:kern w:val="2"/>
      <w:sz w:val="32"/>
      <w:szCs w:val="32"/>
    </w:rPr>
  </w:style>
  <w:style w:type="character" w:customStyle="1" w:styleId="15">
    <w:name w:val="日期 Char"/>
    <w:basedOn w:val="10"/>
    <w:link w:val="6"/>
    <w:qFormat/>
    <w:uiPriority w:val="0"/>
    <w:rPr>
      <w:rFonts w:eastAsia="仿宋_GB2312"/>
      <w:kern w:val="2"/>
      <w:sz w:val="32"/>
      <w:szCs w:val="32"/>
    </w:rPr>
  </w:style>
  <w:style w:type="character" w:customStyle="1" w:styleId="16">
    <w:name w:val="批注框文本 Char"/>
    <w:basedOn w:val="10"/>
    <w:link w:val="7"/>
    <w:qFormat/>
    <w:uiPriority w:val="0"/>
    <w:rPr>
      <w:rFonts w:ascii="Calibri" w:hAnsi="Calibri" w:eastAsia="仿宋_GB2312"/>
      <w:kern w:val="2"/>
      <w:sz w:val="18"/>
      <w:szCs w:val="18"/>
    </w:rPr>
  </w:style>
  <w:style w:type="character" w:customStyle="1" w:styleId="17">
    <w:name w:val="批注文字 Char"/>
    <w:basedOn w:val="10"/>
    <w:link w:val="4"/>
    <w:qFormat/>
    <w:uiPriority w:val="0"/>
    <w:rPr>
      <w:rFonts w:ascii="Calibri" w:hAnsi="Calibri" w:eastAsia="仿宋_GB2312"/>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178F5-C86F-48ED-8218-EE6C09A6288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241</Words>
  <Characters>1376</Characters>
  <Lines>11</Lines>
  <Paragraphs>3</Paragraphs>
  <TotalTime>935</TotalTime>
  <ScaleCrop>false</ScaleCrop>
  <LinksUpToDate>false</LinksUpToDate>
  <CharactersWithSpaces>1614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2017-08-16T02:57:00Z</dcterms:created>
  <dc:creator>Administrator</dc:creator>
  <cp:lastModifiedBy>dell</cp:lastModifiedBy>
  <cp:lastPrinted>2025-01-10T01:22:00Z</cp:lastPrinted>
  <dcterms:modified xsi:type="dcterms:W3CDTF">2025-01-10T07:01:49Z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41CAC6463FBF4D629676975235F61E16</vt:lpwstr>
  </property>
</Properties>
</file>